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00000" cy="60997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dark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60997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color w:val="0B2E4F"/>
        </w:rPr>
        <w:t>Política de Sostenibilidad</w:t>
      </w:r>
    </w:p>
    <w:p>
      <w:pPr>
        <w:jc w:val="center"/>
      </w:pPr>
      <w:r>
        <w:t>Mareas Australes — Transporte marítimo y fluvial · Astillero de barcazas · Constitución, Chile</w:t>
        <w:br/>
        <w:t>Versión 1.0 · Septiembre 2026</w:t>
      </w:r>
    </w:p>
    <w:p>
      <w:pPr>
        <w:pStyle w:val="Heading1"/>
      </w:pPr>
      <w:r>
        <w:rPr>
          <w:color w:val="0B2E4F"/>
        </w:rPr>
        <w:t>Declaración</w:t>
      </w:r>
    </w:p>
    <w:p>
      <w:r>
        <w:t>Mareas Australes presta servicios de transporte marítimo y fluvial y construye barcazas en su astillero a orillas del río Maule. Entendemos que nuestra actividad se desarrolla en un entorno natural y social valioso, por lo que la Dirección asume los siguientes compromisos, aplicables a toda la flota, el astillero, sus trabajadores y contratistas.</w:t>
      </w:r>
    </w:p>
    <w:p>
      <w:pPr>
        <w:pStyle w:val="Heading2"/>
      </w:pPr>
      <w:r>
        <w:rPr>
          <w:color w:val="0B2E4F"/>
        </w:rPr>
        <w:t>1. Cumplimiento legal y mejora continua</w:t>
      </w:r>
    </w:p>
    <w:p>
      <w:r>
        <w:t>Cumplir la normativa ambiental, marítima, laboral y de seguridad vigente, así como los compromisos voluntarios que asumamos. Implementar progresivamente un sistema de gestión ambiental conforme a la norma ISO 14001, con el objetivo de certificarnos, y revisar periódicamente nuestro desempeño para mejorarlo de forma continua.</w:t>
      </w:r>
    </w:p>
    <w:p>
      <w:pPr>
        <w:pStyle w:val="Heading2"/>
      </w:pPr>
      <w:r>
        <w:rPr>
          <w:color w:val="0B2E4F"/>
        </w:rPr>
        <w:t>2. Protección del medio ambiente</w:t>
      </w:r>
    </w:p>
    <w:p>
      <w:pPr>
        <w:pStyle w:val="ListBullet"/>
      </w:pPr>
      <w:r>
        <w:t>Prevenir derrames de hidrocarburos, manteniendo kits antiderrame y procedimientos de contingencia.</w:t>
      </w:r>
    </w:p>
    <w:p>
      <w:pPr>
        <w:pStyle w:val="ListBullet"/>
      </w:pPr>
      <w:r>
        <w:t>Segregar las aguas oleosas y residuos peligrosos y entregarlos exclusivamente a gestores autorizados.</w:t>
      </w:r>
    </w:p>
    <w:p>
      <w:pPr>
        <w:pStyle w:val="ListBullet"/>
      </w:pPr>
      <w:r>
        <w:t>Reciclar la chatarra de acero generada en construcción y reparación a través de empresas recicladoras.</w:t>
      </w:r>
    </w:p>
    <w:p>
      <w:pPr>
        <w:pStyle w:val="ListBullet"/>
      </w:pPr>
      <w:r>
        <w:t>Utilizar pinturas antiincrustantes libres de TBT y adquirir pinturas y solventes en las cantidades justas para cada trabajo, evitando excedentes.</w:t>
      </w:r>
    </w:p>
    <w:p>
      <w:pPr>
        <w:pStyle w:val="ListBullet"/>
      </w:pPr>
      <w:r>
        <w:t>Aplicar protocolos de protección de fauna en el río Maule y su entorno.</w:t>
      </w:r>
    </w:p>
    <w:p>
      <w:pPr>
        <w:pStyle w:val="Heading2"/>
      </w:pPr>
      <w:r>
        <w:rPr>
          <w:color w:val="0B2E4F"/>
        </w:rPr>
        <w:t>3. Eficiencia energética y emisiones</w:t>
      </w:r>
    </w:p>
    <w:p>
      <w:r>
        <w:t>Controlar el consumo de combustible de cada embarcación mediante registro de horas de operación y promedios mensuales, y renovar gradualmente motores y transmisiones para reducir consumo, emisiones y riesgo de derrames.</w:t>
      </w:r>
    </w:p>
    <w:p>
      <w:pPr>
        <w:pStyle w:val="Heading2"/>
      </w:pPr>
      <w:r>
        <w:rPr>
          <w:color w:val="0B2E4F"/>
        </w:rPr>
        <w:t>4. Seguridad y bienestar de las personas</w:t>
      </w:r>
    </w:p>
    <w:p>
      <w:r>
        <w:t>Mantener lugares de trabajo seguros a bordo y en el astillero, conforme a la Ley 16.744, con capacitación permanente. Promover la equidad, la inclusión y un ambiente libre de acoso, en línea con la Ley 21.643 (Ley Karin).</w:t>
      </w:r>
    </w:p>
    <w:p>
      <w:pPr>
        <w:pStyle w:val="Heading2"/>
      </w:pPr>
      <w:r>
        <w:rPr>
          <w:color w:val="0B2E4F"/>
        </w:rPr>
        <w:t>5. Compromiso con la comunidad</w:t>
      </w:r>
    </w:p>
    <w:p>
      <w:r>
        <w:t>Priorizar la contratación de trabajadores y proveedores de la Región del Maule; mantener una relación colaborativa con los pescadores artesanales, incluyendo apoyo en emergencias; recibir alumnos en práctica y apoyar iniciativas locales.</w:t>
      </w:r>
    </w:p>
    <w:p>
      <w:pPr>
        <w:pStyle w:val="Heading2"/>
      </w:pPr>
      <w:r>
        <w:rPr>
          <w:color w:val="0B2E4F"/>
        </w:rPr>
        <w:t>6. Ética y cadena de suministro</w:t>
      </w:r>
    </w:p>
    <w:p>
      <w:r>
        <w:t>Actuar conforme a nuestro código de ética y modelo de prevención de delitos (Ley 20.393 y Ley 21.595 de Delitos Económicos), y seleccionar proveedores con criterios de responsabilidad.</w:t>
      </w:r>
    </w:p>
    <w:p>
      <w:pPr>
        <w:pStyle w:val="Heading1"/>
      </w:pPr>
      <w:r>
        <w:rPr>
          <w:color w:val="0B2E4F"/>
        </w:rPr>
        <w:t>Metas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Meta</w:t>
            </w:r>
          </w:p>
        </w:tc>
        <w:tc>
          <w:tcPr>
            <w:tcW w:type="dxa" w:w="4873"/>
          </w:tcPr>
          <w:p>
            <w:r>
              <w:t>Plazo</w:t>
            </w:r>
          </w:p>
        </w:tc>
      </w:tr>
      <w:tr>
        <w:tc>
          <w:tcPr>
            <w:tcW w:type="dxa" w:w="4873"/>
          </w:tcPr>
          <w:p>
            <w:r>
              <w:t>Reducir 15% el consumo de combustible por tonelada transportada (línea base: año 2025)</w:t>
            </w:r>
          </w:p>
        </w:tc>
        <w:tc>
          <w:tcPr>
            <w:tcW w:type="dxa" w:w="4873"/>
          </w:tcPr>
          <w:p>
            <w:r>
              <w:t>2029</w:t>
            </w:r>
          </w:p>
        </w:tc>
      </w:tr>
      <w:tr>
        <w:tc>
          <w:tcPr>
            <w:tcW w:type="dxa" w:w="4873"/>
          </w:tcPr>
          <w:p>
            <w:r>
              <w:t>Cero derrames de hidrocarburos</w:t>
            </w:r>
          </w:p>
        </w:tc>
        <w:tc>
          <w:tcPr>
            <w:tcW w:type="dxa" w:w="4873"/>
          </w:tcPr>
          <w:p>
            <w:r>
              <w:t>Anual</w:t>
            </w:r>
          </w:p>
        </w:tc>
      </w:tr>
      <w:tr>
        <w:tc>
          <w:tcPr>
            <w:tcW w:type="dxa" w:w="4873"/>
          </w:tcPr>
          <w:p>
            <w:r>
              <w:t>Cero accidentes graves en flota y astillero</w:t>
            </w:r>
          </w:p>
        </w:tc>
        <w:tc>
          <w:tcPr>
            <w:tcW w:type="dxa" w:w="4873"/>
          </w:tcPr>
          <w:p>
            <w:r>
              <w:t>Anual</w:t>
            </w:r>
          </w:p>
        </w:tc>
      </w:tr>
      <w:tr>
        <w:tc>
          <w:tcPr>
            <w:tcW w:type="dxa" w:w="4873"/>
          </w:tcPr>
          <w:p>
            <w:r>
              <w:t>Toda la flota con motores de menos de 9.000 horas de operación</w:t>
            </w:r>
          </w:p>
        </w:tc>
        <w:tc>
          <w:tcPr>
            <w:tcW w:type="dxa" w:w="4873"/>
          </w:tcPr>
          <w:p>
            <w:r>
              <w:t>2030</w:t>
            </w:r>
          </w:p>
        </w:tc>
      </w:tr>
      <w:tr>
        <w:tc>
          <w:tcPr>
            <w:tcW w:type="dxa" w:w="4873"/>
          </w:tcPr>
          <w:p>
            <w:r>
              <w:t>Implementación del sistema de gestión ambiental ISO 14001</w:t>
            </w:r>
          </w:p>
        </w:tc>
        <w:tc>
          <w:tcPr>
            <w:tcW w:type="dxa" w:w="4873"/>
          </w:tcPr>
          <w:p>
            <w:r>
              <w:t>En curso</w:t>
            </w:r>
          </w:p>
        </w:tc>
      </w:tr>
    </w:tbl>
    <w:p>
      <w:pPr>
        <w:pStyle w:val="Heading1"/>
      </w:pPr>
      <w:r>
        <w:rPr>
          <w:color w:val="0B2E4F"/>
        </w:rPr>
        <w:t>Responsabilidad y difusión</w:t>
      </w:r>
    </w:p>
    <w:p>
      <w:r>
        <w:t>La Dirección, representada por Juan Eduardo Ariztía, es responsable de esta política; su seguimiento está a cargo de Mayelin Fuenmayor. La política se revisa al menos una vez al año, se comunica a todos los trabajadores y contratistas, y está disponible para clientes y comunidad.</w:t>
      </w:r>
    </w:p>
    <w:p>
      <w:r>
        <w:br/>
        <w:br/>
        <w:t>______________________________</w:t>
        <w:br/>
        <w:t>Juan Eduardo Ariztía</w:t>
        <w:br/>
        <w:t>Mareas Australes</w:t>
        <w:br/>
        <w:t>Constitución, septiembre de 2026</w:t>
      </w:r>
    </w:p>
    <w:sectPr w:rsidR="00FC693F" w:rsidRPr="0006063C" w:rsidSect="00034616">
      <w:pgSz w:w="12240" w:h="15840"/>
      <w:pgMar w:top="1440" w:right="1247" w:bottom="144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